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23B" w:rsidRPr="0048023B" w:rsidRDefault="0048023B" w:rsidP="0048023B">
      <w:pPr>
        <w:shd w:val="clear" w:color="auto" w:fill="FFFFFF"/>
        <w:spacing w:after="225" w:line="240" w:lineRule="auto"/>
        <w:outlineLvl w:val="0"/>
        <w:rPr>
          <w:rFonts w:ascii="inherit" w:eastAsia="Times New Roman" w:hAnsi="inherit" w:cs="Arial"/>
          <w:color w:val="3B4255"/>
          <w:kern w:val="36"/>
          <w:sz w:val="36"/>
          <w:szCs w:val="36"/>
          <w:lang w:eastAsia="ru-RU"/>
        </w:rPr>
      </w:pPr>
      <w:r w:rsidRPr="0048023B">
        <w:rPr>
          <w:rFonts w:ascii="inherit" w:eastAsia="Times New Roman" w:hAnsi="inherit" w:cs="Arial"/>
          <w:color w:val="3B4255"/>
          <w:kern w:val="36"/>
          <w:sz w:val="36"/>
          <w:szCs w:val="36"/>
          <w:lang w:eastAsia="ru-RU"/>
        </w:rPr>
        <w:t>Дополнительное образование детей</w:t>
      </w:r>
    </w:p>
    <w:p w:rsidR="0048023B" w:rsidRPr="0048023B" w:rsidRDefault="0048023B" w:rsidP="0048023B">
      <w:pPr>
        <w:shd w:val="clear" w:color="auto" w:fill="FFFFFF"/>
        <w:spacing w:after="0" w:line="240" w:lineRule="auto"/>
        <w:jc w:val="both"/>
        <w:rPr>
          <w:rFonts w:ascii="Arial" w:eastAsia="Times New Roman" w:hAnsi="Arial" w:cs="Arial"/>
          <w:color w:val="212529"/>
          <w:sz w:val="24"/>
          <w:szCs w:val="24"/>
          <w:lang w:eastAsia="ru-RU"/>
        </w:rPr>
      </w:pPr>
      <w:proofErr w:type="spellStart"/>
      <w:r w:rsidRPr="0048023B">
        <w:rPr>
          <w:rFonts w:ascii="Arial" w:eastAsia="Times New Roman" w:hAnsi="Arial" w:cs="Arial"/>
          <w:color w:val="212529"/>
          <w:sz w:val="24"/>
          <w:szCs w:val="24"/>
          <w:lang w:eastAsia="ru-RU"/>
        </w:rPr>
        <w:t>Минпросвещения</w:t>
      </w:r>
      <w:proofErr w:type="spellEnd"/>
      <w:r w:rsidRPr="0048023B">
        <w:rPr>
          <w:rFonts w:ascii="Arial" w:eastAsia="Times New Roman" w:hAnsi="Arial" w:cs="Arial"/>
          <w:color w:val="212529"/>
          <w:sz w:val="24"/>
          <w:szCs w:val="24"/>
          <w:lang w:eastAsia="ru-RU"/>
        </w:rPr>
        <w:t xml:space="preserve"> России обеспечивает разработку системы мер по развитию дополнительного образования детей.</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color w:val="212529"/>
          <w:sz w:val="24"/>
          <w:szCs w:val="24"/>
          <w:lang w:eastAsia="ru-RU"/>
        </w:rPr>
        <w:t>В рамках федерального проекта «Успех каждого ребёнка» национального проекта «Образование» к 2024 году дополнительным образованием должно быть охвачено 80% ребят в возрасте от 5 до 18 лет. Федеральный проект предусматривает обновление содержания дополнительного образования всех направленностей, повышение качества и вариативности образовательных программ и их реализацию в сетевой форме, чтобы они отвечали вызовам времени и интересам детей с разными образовательными потребностями, модернизацию инфраструктуры и совершенствование профессионального мастерства педагогических и управленческих кадров.</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b/>
          <w:bCs/>
          <w:color w:val="212529"/>
          <w:sz w:val="24"/>
          <w:szCs w:val="24"/>
          <w:lang w:eastAsia="ru-RU"/>
        </w:rPr>
        <w:t>Естественно-научная направленность</w:t>
      </w:r>
      <w:r w:rsidRPr="0048023B">
        <w:rPr>
          <w:rFonts w:ascii="Arial" w:eastAsia="Times New Roman" w:hAnsi="Arial" w:cs="Arial"/>
          <w:color w:val="212529"/>
          <w:sz w:val="24"/>
          <w:szCs w:val="24"/>
          <w:lang w:eastAsia="ru-RU"/>
        </w:rPr>
        <w:br/>
        <w:t xml:space="preserve">Вовлечение детей в научную работу, в практику наблюдения, описания, моделирования и конструирования различных явлений окружающего мира, обеспечение дисциплинарного подхода в части интеграции с различными областями знаний: реализуется в 31 860 образовательных организациях для 2,4 </w:t>
      </w:r>
      <w:proofErr w:type="gramStart"/>
      <w:r w:rsidRPr="0048023B">
        <w:rPr>
          <w:rFonts w:ascii="Arial" w:eastAsia="Times New Roman" w:hAnsi="Arial" w:cs="Arial"/>
          <w:color w:val="212529"/>
          <w:sz w:val="24"/>
          <w:szCs w:val="24"/>
          <w:lang w:eastAsia="ru-RU"/>
        </w:rPr>
        <w:t>млн</w:t>
      </w:r>
      <w:proofErr w:type="gramEnd"/>
      <w:r w:rsidRPr="0048023B">
        <w:rPr>
          <w:rFonts w:ascii="Arial" w:eastAsia="Times New Roman" w:hAnsi="Arial" w:cs="Arial"/>
          <w:color w:val="212529"/>
          <w:sz w:val="24"/>
          <w:szCs w:val="24"/>
          <w:lang w:eastAsia="ru-RU"/>
        </w:rPr>
        <w:t xml:space="preserve"> обучающихся.</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b/>
          <w:bCs/>
          <w:color w:val="212529"/>
          <w:sz w:val="24"/>
          <w:szCs w:val="24"/>
          <w:lang w:eastAsia="ru-RU"/>
        </w:rPr>
        <w:t>Туристско-краеведческая направленность</w:t>
      </w:r>
      <w:r w:rsidRPr="0048023B">
        <w:rPr>
          <w:rFonts w:ascii="Arial" w:eastAsia="Times New Roman" w:hAnsi="Arial" w:cs="Arial"/>
          <w:color w:val="212529"/>
          <w:sz w:val="24"/>
          <w:szCs w:val="24"/>
          <w:lang w:eastAsia="ru-RU"/>
        </w:rPr>
        <w:br/>
        <w:t>Вовлечение детей в организацию походно-экспедиционных, экскурсионных, проектно-исследовательских и других профильных форм работы (походы, экспедиции, слёты, выездные школы, профильные смены и др.): реализуется</w:t>
      </w:r>
      <w:r w:rsidRPr="0048023B">
        <w:rPr>
          <w:rFonts w:ascii="Arial" w:eastAsia="Times New Roman" w:hAnsi="Arial" w:cs="Arial"/>
          <w:color w:val="212529"/>
          <w:sz w:val="24"/>
          <w:szCs w:val="24"/>
          <w:lang w:eastAsia="ru-RU"/>
        </w:rPr>
        <w:br/>
        <w:t xml:space="preserve">в 17 966 образовательных организациях для 1,19 </w:t>
      </w:r>
      <w:proofErr w:type="gramStart"/>
      <w:r w:rsidRPr="0048023B">
        <w:rPr>
          <w:rFonts w:ascii="Arial" w:eastAsia="Times New Roman" w:hAnsi="Arial" w:cs="Arial"/>
          <w:color w:val="212529"/>
          <w:sz w:val="24"/>
          <w:szCs w:val="24"/>
          <w:lang w:eastAsia="ru-RU"/>
        </w:rPr>
        <w:t>млн</w:t>
      </w:r>
      <w:proofErr w:type="gramEnd"/>
      <w:r w:rsidRPr="0048023B">
        <w:rPr>
          <w:rFonts w:ascii="Arial" w:eastAsia="Times New Roman" w:hAnsi="Arial" w:cs="Arial"/>
          <w:color w:val="212529"/>
          <w:sz w:val="24"/>
          <w:szCs w:val="24"/>
          <w:lang w:eastAsia="ru-RU"/>
        </w:rPr>
        <w:t xml:space="preserve"> обучающихся, с этой целью работают 18 794 школьных музея, из которых 7316 музеев уже создали свои отдельные страницы на едином портале Школьных музеев (актуальную информацию о количестве школьных музеев можно получить, пройдя по </w:t>
      </w:r>
      <w:hyperlink r:id="rId5" w:tgtFrame="_blank" w:history="1">
        <w:r w:rsidRPr="0048023B">
          <w:rPr>
            <w:rFonts w:ascii="Arial" w:eastAsia="Times New Roman" w:hAnsi="Arial" w:cs="Arial"/>
            <w:color w:val="154EC9"/>
            <w:sz w:val="24"/>
            <w:szCs w:val="24"/>
            <w:lang w:eastAsia="ru-RU"/>
          </w:rPr>
          <w:t>ссылке</w:t>
        </w:r>
      </w:hyperlink>
      <w:r w:rsidRPr="0048023B">
        <w:rPr>
          <w:rFonts w:ascii="Arial" w:eastAsia="Times New Roman" w:hAnsi="Arial" w:cs="Arial"/>
          <w:color w:val="212529"/>
          <w:sz w:val="24"/>
          <w:szCs w:val="24"/>
          <w:lang w:eastAsia="ru-RU"/>
        </w:rPr>
        <w:t>).</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b/>
          <w:bCs/>
          <w:color w:val="212529"/>
          <w:sz w:val="24"/>
          <w:szCs w:val="24"/>
          <w:lang w:eastAsia="ru-RU"/>
        </w:rPr>
        <w:t>Техническая направленность</w:t>
      </w:r>
      <w:r w:rsidRPr="0048023B">
        <w:rPr>
          <w:rFonts w:ascii="Arial" w:eastAsia="Times New Roman" w:hAnsi="Arial" w:cs="Arial"/>
          <w:color w:val="212529"/>
          <w:sz w:val="24"/>
          <w:szCs w:val="24"/>
          <w:lang w:eastAsia="ru-RU"/>
        </w:rPr>
        <w:br/>
        <w:t xml:space="preserve">Вовлечение детей в создание искусственно-технических и виртуальных объектов, формирование современных компетенций обучающихся в области технических наук, технологической грамотности и инженерного мышления: реализуется в 29 246 образовательных организациях для 2,5 </w:t>
      </w:r>
      <w:proofErr w:type="gramStart"/>
      <w:r w:rsidRPr="0048023B">
        <w:rPr>
          <w:rFonts w:ascii="Arial" w:eastAsia="Times New Roman" w:hAnsi="Arial" w:cs="Arial"/>
          <w:color w:val="212529"/>
          <w:sz w:val="24"/>
          <w:szCs w:val="24"/>
          <w:lang w:eastAsia="ru-RU"/>
        </w:rPr>
        <w:t>млн</w:t>
      </w:r>
      <w:proofErr w:type="gramEnd"/>
      <w:r w:rsidRPr="0048023B">
        <w:rPr>
          <w:rFonts w:ascii="Arial" w:eastAsia="Times New Roman" w:hAnsi="Arial" w:cs="Arial"/>
          <w:color w:val="212529"/>
          <w:sz w:val="24"/>
          <w:szCs w:val="24"/>
          <w:lang w:eastAsia="ru-RU"/>
        </w:rPr>
        <w:t xml:space="preserve"> обучающихся.</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b/>
          <w:bCs/>
          <w:color w:val="212529"/>
          <w:sz w:val="24"/>
          <w:szCs w:val="24"/>
          <w:lang w:eastAsia="ru-RU"/>
        </w:rPr>
        <w:t>Социально-гуманитарная направленность</w:t>
      </w:r>
      <w:r w:rsidRPr="0048023B">
        <w:rPr>
          <w:rFonts w:ascii="Arial" w:eastAsia="Times New Roman" w:hAnsi="Arial" w:cs="Arial"/>
          <w:color w:val="212529"/>
          <w:sz w:val="24"/>
          <w:szCs w:val="24"/>
          <w:lang w:eastAsia="ru-RU"/>
        </w:rPr>
        <w:br/>
        <w:t xml:space="preserve">Вовлечение детей в практику глобального, регионального и локального развития общества, развитие культуры межнационального общения, лидерских качеств, финансовой, правовой и </w:t>
      </w:r>
      <w:proofErr w:type="spellStart"/>
      <w:r w:rsidRPr="0048023B">
        <w:rPr>
          <w:rFonts w:ascii="Arial" w:eastAsia="Times New Roman" w:hAnsi="Arial" w:cs="Arial"/>
          <w:color w:val="212529"/>
          <w:sz w:val="24"/>
          <w:szCs w:val="24"/>
          <w:lang w:eastAsia="ru-RU"/>
        </w:rPr>
        <w:t>медиаграмотности</w:t>
      </w:r>
      <w:proofErr w:type="spellEnd"/>
      <w:r w:rsidRPr="0048023B">
        <w:rPr>
          <w:rFonts w:ascii="Arial" w:eastAsia="Times New Roman" w:hAnsi="Arial" w:cs="Arial"/>
          <w:color w:val="212529"/>
          <w:sz w:val="24"/>
          <w:szCs w:val="24"/>
          <w:lang w:eastAsia="ru-RU"/>
        </w:rPr>
        <w:t xml:space="preserve">, предпринимательской деятельности, а также игровых форматов и технологий: реализуется в 47 148 образовательных организациях для 5,4 </w:t>
      </w:r>
      <w:proofErr w:type="gramStart"/>
      <w:r w:rsidRPr="0048023B">
        <w:rPr>
          <w:rFonts w:ascii="Arial" w:eastAsia="Times New Roman" w:hAnsi="Arial" w:cs="Arial"/>
          <w:color w:val="212529"/>
          <w:sz w:val="24"/>
          <w:szCs w:val="24"/>
          <w:lang w:eastAsia="ru-RU"/>
        </w:rPr>
        <w:t>млн</w:t>
      </w:r>
      <w:proofErr w:type="gramEnd"/>
      <w:r w:rsidRPr="0048023B">
        <w:rPr>
          <w:rFonts w:ascii="Arial" w:eastAsia="Times New Roman" w:hAnsi="Arial" w:cs="Arial"/>
          <w:color w:val="212529"/>
          <w:sz w:val="24"/>
          <w:szCs w:val="24"/>
          <w:lang w:eastAsia="ru-RU"/>
        </w:rPr>
        <w:t xml:space="preserve"> обучающихся.</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b/>
          <w:bCs/>
          <w:color w:val="212529"/>
          <w:sz w:val="24"/>
          <w:szCs w:val="24"/>
          <w:lang w:eastAsia="ru-RU"/>
        </w:rPr>
        <w:t>Художественная направленность</w:t>
      </w:r>
      <w:r w:rsidRPr="0048023B">
        <w:rPr>
          <w:rFonts w:ascii="Arial" w:eastAsia="Times New Roman" w:hAnsi="Arial" w:cs="Arial"/>
          <w:color w:val="212529"/>
          <w:sz w:val="24"/>
          <w:szCs w:val="24"/>
          <w:lang w:eastAsia="ru-RU"/>
        </w:rPr>
        <w:br/>
        <w:t xml:space="preserve">Вовлечение детей в различные виды искусств, жанры художественного творчества, в том числе с применением цифровых технологий, с использованием новых музыкальных инструментов, средств коммуникации, художественных материалов, оборудования креативных индустрий (создание школьных театров): реализуется в 51 274 образовательных организациях для 4,8 </w:t>
      </w:r>
      <w:proofErr w:type="gramStart"/>
      <w:r w:rsidRPr="0048023B">
        <w:rPr>
          <w:rFonts w:ascii="Arial" w:eastAsia="Times New Roman" w:hAnsi="Arial" w:cs="Arial"/>
          <w:color w:val="212529"/>
          <w:sz w:val="24"/>
          <w:szCs w:val="24"/>
          <w:lang w:eastAsia="ru-RU"/>
        </w:rPr>
        <w:t>млн</w:t>
      </w:r>
      <w:proofErr w:type="gramEnd"/>
      <w:r w:rsidRPr="0048023B">
        <w:rPr>
          <w:rFonts w:ascii="Arial" w:eastAsia="Times New Roman" w:hAnsi="Arial" w:cs="Arial"/>
          <w:color w:val="212529"/>
          <w:sz w:val="24"/>
          <w:szCs w:val="24"/>
          <w:lang w:eastAsia="ru-RU"/>
        </w:rPr>
        <w:t xml:space="preserve"> обучающихся, с этой целью по всей стране работают 28 152 школьных театра (актуальную информацию о количестве школьных театров можно получить, пройдя по </w:t>
      </w:r>
      <w:hyperlink r:id="rId6" w:tgtFrame="_blank" w:history="1">
        <w:r w:rsidRPr="0048023B">
          <w:rPr>
            <w:rFonts w:ascii="Arial" w:eastAsia="Times New Roman" w:hAnsi="Arial" w:cs="Arial"/>
            <w:color w:val="154EC9"/>
            <w:sz w:val="24"/>
            <w:szCs w:val="24"/>
            <w:lang w:eastAsia="ru-RU"/>
          </w:rPr>
          <w:t>ссылке</w:t>
        </w:r>
      </w:hyperlink>
      <w:r w:rsidRPr="0048023B">
        <w:rPr>
          <w:rFonts w:ascii="Arial" w:eastAsia="Times New Roman" w:hAnsi="Arial" w:cs="Arial"/>
          <w:color w:val="212529"/>
          <w:sz w:val="24"/>
          <w:szCs w:val="24"/>
          <w:lang w:eastAsia="ru-RU"/>
        </w:rPr>
        <w:t>), 14 640 школьных хоров.</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b/>
          <w:bCs/>
          <w:color w:val="212529"/>
          <w:sz w:val="24"/>
          <w:szCs w:val="24"/>
          <w:lang w:eastAsia="ru-RU"/>
        </w:rPr>
        <w:lastRenderedPageBreak/>
        <w:t>Физкультурно-спортивная направленность</w:t>
      </w:r>
      <w:r w:rsidRPr="0048023B">
        <w:rPr>
          <w:rFonts w:ascii="Arial" w:eastAsia="Times New Roman" w:hAnsi="Arial" w:cs="Arial"/>
          <w:color w:val="212529"/>
          <w:sz w:val="24"/>
          <w:szCs w:val="24"/>
          <w:lang w:eastAsia="ru-RU"/>
        </w:rPr>
        <w:br/>
        <w:t xml:space="preserve">Вовлечение детей в практики, содержащие элементы олимпийских, неолимпийских и национальных видов спорта, развитие командных, индивидуальных и игровых видов деятельности, способствующих </w:t>
      </w:r>
      <w:proofErr w:type="gramStart"/>
      <w:r w:rsidRPr="0048023B">
        <w:rPr>
          <w:rFonts w:ascii="Arial" w:eastAsia="Times New Roman" w:hAnsi="Arial" w:cs="Arial"/>
          <w:color w:val="212529"/>
          <w:sz w:val="24"/>
          <w:szCs w:val="24"/>
          <w:lang w:eastAsia="ru-RU"/>
        </w:rPr>
        <w:t>физическому</w:t>
      </w:r>
      <w:proofErr w:type="gramEnd"/>
      <w:r w:rsidRPr="0048023B">
        <w:rPr>
          <w:rFonts w:ascii="Arial" w:eastAsia="Times New Roman" w:hAnsi="Arial" w:cs="Arial"/>
          <w:color w:val="212529"/>
          <w:sz w:val="24"/>
          <w:szCs w:val="24"/>
          <w:lang w:eastAsia="ru-RU"/>
        </w:rPr>
        <w:t xml:space="preserve">, духовному, интеллектуальному, </w:t>
      </w:r>
      <w:proofErr w:type="spellStart"/>
      <w:r w:rsidRPr="0048023B">
        <w:rPr>
          <w:rFonts w:ascii="Arial" w:eastAsia="Times New Roman" w:hAnsi="Arial" w:cs="Arial"/>
          <w:color w:val="212529"/>
          <w:sz w:val="24"/>
          <w:szCs w:val="24"/>
          <w:lang w:eastAsia="ru-RU"/>
        </w:rPr>
        <w:t>здоровьесберегающему</w:t>
      </w:r>
      <w:proofErr w:type="spellEnd"/>
      <w:r w:rsidRPr="0048023B">
        <w:rPr>
          <w:rFonts w:ascii="Arial" w:eastAsia="Times New Roman" w:hAnsi="Arial" w:cs="Arial"/>
          <w:color w:val="212529"/>
          <w:sz w:val="24"/>
          <w:szCs w:val="24"/>
          <w:lang w:eastAsia="ru-RU"/>
        </w:rPr>
        <w:t xml:space="preserve"> и патриотическому воспитанию детей: реализуется в 47 422 образовательных организациях</w:t>
      </w:r>
      <w:r w:rsidRPr="0048023B">
        <w:rPr>
          <w:rFonts w:ascii="Arial" w:eastAsia="Times New Roman" w:hAnsi="Arial" w:cs="Arial"/>
          <w:color w:val="212529"/>
          <w:sz w:val="24"/>
          <w:szCs w:val="24"/>
          <w:lang w:eastAsia="ru-RU"/>
        </w:rPr>
        <w:br/>
        <w:t xml:space="preserve">для 6,45 </w:t>
      </w:r>
      <w:proofErr w:type="gramStart"/>
      <w:r w:rsidRPr="0048023B">
        <w:rPr>
          <w:rFonts w:ascii="Arial" w:eastAsia="Times New Roman" w:hAnsi="Arial" w:cs="Arial"/>
          <w:color w:val="212529"/>
          <w:sz w:val="24"/>
          <w:szCs w:val="24"/>
          <w:lang w:eastAsia="ru-RU"/>
        </w:rPr>
        <w:t>млн</w:t>
      </w:r>
      <w:proofErr w:type="gramEnd"/>
      <w:r w:rsidRPr="0048023B">
        <w:rPr>
          <w:rFonts w:ascii="Arial" w:eastAsia="Times New Roman" w:hAnsi="Arial" w:cs="Arial"/>
          <w:color w:val="212529"/>
          <w:sz w:val="24"/>
          <w:szCs w:val="24"/>
          <w:lang w:eastAsia="ru-RU"/>
        </w:rPr>
        <w:t xml:space="preserve"> обучающихся, с этой целью работают 32 502 школьных спортивных клубов (актуальную информацию о количестве школьных спортивных клубов можно получить, пройдя по </w:t>
      </w:r>
      <w:hyperlink r:id="rId7" w:tgtFrame="_blank" w:history="1">
        <w:r w:rsidRPr="0048023B">
          <w:rPr>
            <w:rFonts w:ascii="Arial" w:eastAsia="Times New Roman" w:hAnsi="Arial" w:cs="Arial"/>
            <w:color w:val="154EC9"/>
            <w:sz w:val="24"/>
            <w:szCs w:val="24"/>
            <w:lang w:eastAsia="ru-RU"/>
          </w:rPr>
          <w:t>ссылке</w:t>
        </w:r>
      </w:hyperlink>
      <w:r w:rsidRPr="0048023B">
        <w:rPr>
          <w:rFonts w:ascii="Arial" w:eastAsia="Times New Roman" w:hAnsi="Arial" w:cs="Arial"/>
          <w:color w:val="212529"/>
          <w:sz w:val="24"/>
          <w:szCs w:val="24"/>
          <w:lang w:eastAsia="ru-RU"/>
        </w:rPr>
        <w:t>).</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proofErr w:type="gramStart"/>
      <w:r w:rsidRPr="0048023B">
        <w:rPr>
          <w:rFonts w:ascii="Arial" w:eastAsia="Times New Roman" w:hAnsi="Arial" w:cs="Arial"/>
          <w:color w:val="212529"/>
          <w:sz w:val="24"/>
          <w:szCs w:val="24"/>
          <w:lang w:eastAsia="ru-RU"/>
        </w:rPr>
        <w:t>За период с 2015 по 2022 года созданы более 300 технопарков «</w:t>
      </w:r>
      <w:proofErr w:type="spellStart"/>
      <w:r w:rsidRPr="0048023B">
        <w:rPr>
          <w:rFonts w:ascii="Arial" w:eastAsia="Times New Roman" w:hAnsi="Arial" w:cs="Arial"/>
          <w:color w:val="212529"/>
          <w:sz w:val="24"/>
          <w:szCs w:val="24"/>
          <w:lang w:eastAsia="ru-RU"/>
        </w:rPr>
        <w:t>Кванториум</w:t>
      </w:r>
      <w:proofErr w:type="spellEnd"/>
      <w:r w:rsidRPr="0048023B">
        <w:rPr>
          <w:rFonts w:ascii="Arial" w:eastAsia="Times New Roman" w:hAnsi="Arial" w:cs="Arial"/>
          <w:color w:val="212529"/>
          <w:sz w:val="24"/>
          <w:szCs w:val="24"/>
          <w:lang w:eastAsia="ru-RU"/>
        </w:rPr>
        <w:t xml:space="preserve">», в том числе на базе школ, 182 центр цифрового образования «IT-куб», 30 ключевых центров дополнительного образования детей на базе образовательных организаций высшего образования (в форме «Домов научной </w:t>
      </w:r>
      <w:proofErr w:type="spellStart"/>
      <w:r w:rsidRPr="0048023B">
        <w:rPr>
          <w:rFonts w:ascii="Arial" w:eastAsia="Times New Roman" w:hAnsi="Arial" w:cs="Arial"/>
          <w:color w:val="212529"/>
          <w:sz w:val="24"/>
          <w:szCs w:val="24"/>
          <w:lang w:eastAsia="ru-RU"/>
        </w:rPr>
        <w:t>коллаборации</w:t>
      </w:r>
      <w:proofErr w:type="spellEnd"/>
      <w:r w:rsidRPr="0048023B">
        <w:rPr>
          <w:rFonts w:ascii="Arial" w:eastAsia="Times New Roman" w:hAnsi="Arial" w:cs="Arial"/>
          <w:color w:val="212529"/>
          <w:sz w:val="24"/>
          <w:szCs w:val="24"/>
          <w:lang w:eastAsia="ru-RU"/>
        </w:rPr>
        <w:t>») в 27 субъектах Российской Федерации, более 1 054 млн. новых мест дополнительного образования детей, 61 региональный центр выявления, поддержки и</w:t>
      </w:r>
      <w:proofErr w:type="gramEnd"/>
      <w:r w:rsidRPr="0048023B">
        <w:rPr>
          <w:rFonts w:ascii="Arial" w:eastAsia="Times New Roman" w:hAnsi="Arial" w:cs="Arial"/>
          <w:color w:val="212529"/>
          <w:sz w:val="24"/>
          <w:szCs w:val="24"/>
          <w:lang w:eastAsia="ru-RU"/>
        </w:rPr>
        <w:t xml:space="preserve"> развития способностей и талантов у детей и молодежи, 31,9 тыс. школьных спортивных клубов, в 4,2 тыс. образовательных организациях обновлена материально-техническая база для занятий физической культурой и спортом, и во всех субъектах Российской Федерации ведётся персонифицированный учёт дополнительного образования.</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color w:val="212529"/>
          <w:sz w:val="24"/>
          <w:szCs w:val="24"/>
          <w:lang w:eastAsia="ru-RU"/>
        </w:rPr>
        <w:t>В целях развития и реализации интеллектуально-творческого потенциала детей и молодежи создается сеть региональных центров выявления, поддержки и развития способностей и талантов у детей и молодежи (далее – региональные центры), в том числе на базе ведущих образовательных организаций.</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r w:rsidRPr="0048023B">
        <w:rPr>
          <w:rFonts w:ascii="Arial" w:eastAsia="Times New Roman" w:hAnsi="Arial" w:cs="Arial"/>
          <w:color w:val="212529"/>
          <w:sz w:val="24"/>
          <w:szCs w:val="24"/>
          <w:lang w:eastAsia="ru-RU"/>
        </w:rPr>
        <w:t>В настоящее время созданы и функционируют 61 региональный центр в субъектах Российской Федерации, к концу 2023 года планируется открытие еще 15 региональных центров, в 2024 году будут созданы еще 9 региональных центров.</w:t>
      </w:r>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proofErr w:type="gramStart"/>
      <w:r w:rsidRPr="0048023B">
        <w:rPr>
          <w:rFonts w:ascii="Arial" w:eastAsia="Times New Roman" w:hAnsi="Arial" w:cs="Arial"/>
          <w:color w:val="212529"/>
          <w:sz w:val="24"/>
          <w:szCs w:val="24"/>
          <w:lang w:eastAsia="ru-RU"/>
        </w:rPr>
        <w:t xml:space="preserve">Региональные центры организуют взаимодействие с образовательными организациями, в которых обучаются одаренные дети, чтобы создать индивидуальную образовательную траекторию (социальный лифт), </w:t>
      </w:r>
      <w:proofErr w:type="spellStart"/>
      <w:r w:rsidRPr="0048023B">
        <w:rPr>
          <w:rFonts w:ascii="Arial" w:eastAsia="Times New Roman" w:hAnsi="Arial" w:cs="Arial"/>
          <w:color w:val="212529"/>
          <w:sz w:val="24"/>
          <w:szCs w:val="24"/>
          <w:lang w:eastAsia="ru-RU"/>
        </w:rPr>
        <w:t>тьюторскую</w:t>
      </w:r>
      <w:proofErr w:type="spellEnd"/>
      <w:r w:rsidRPr="0048023B">
        <w:rPr>
          <w:rFonts w:ascii="Arial" w:eastAsia="Times New Roman" w:hAnsi="Arial" w:cs="Arial"/>
          <w:color w:val="212529"/>
          <w:sz w:val="24"/>
          <w:szCs w:val="24"/>
          <w:lang w:eastAsia="ru-RU"/>
        </w:rPr>
        <w:t xml:space="preserve"> поддержку для каждого одаренного ребенка, включающую индивидуальную работу с молодым талантом по формированию и развитию его познавательных интересов, профессиональную ориентацию по профессиям, специальностям, направлениям подготовки, востребованным на рынке труда и содействие в трудоустройстве после окончания обучения.</w:t>
      </w:r>
      <w:proofErr w:type="gramEnd"/>
    </w:p>
    <w:p w:rsidR="0048023B" w:rsidRPr="0048023B" w:rsidRDefault="0048023B" w:rsidP="0048023B">
      <w:pPr>
        <w:shd w:val="clear" w:color="auto" w:fill="FFFFFF"/>
        <w:spacing w:before="150" w:after="0" w:line="240" w:lineRule="auto"/>
        <w:jc w:val="both"/>
        <w:rPr>
          <w:rFonts w:ascii="Arial" w:eastAsia="Times New Roman" w:hAnsi="Arial" w:cs="Arial"/>
          <w:color w:val="212529"/>
          <w:sz w:val="24"/>
          <w:szCs w:val="24"/>
          <w:lang w:eastAsia="ru-RU"/>
        </w:rPr>
      </w:pPr>
      <w:proofErr w:type="spellStart"/>
      <w:r w:rsidRPr="0048023B">
        <w:rPr>
          <w:rFonts w:ascii="Arial" w:eastAsia="Times New Roman" w:hAnsi="Arial" w:cs="Arial"/>
          <w:color w:val="212529"/>
          <w:sz w:val="24"/>
          <w:szCs w:val="24"/>
          <w:lang w:eastAsia="ru-RU"/>
        </w:rPr>
        <w:t>Минпросвещения</w:t>
      </w:r>
      <w:proofErr w:type="spellEnd"/>
      <w:r w:rsidRPr="0048023B">
        <w:rPr>
          <w:rFonts w:ascii="Arial" w:eastAsia="Times New Roman" w:hAnsi="Arial" w:cs="Arial"/>
          <w:color w:val="212529"/>
          <w:sz w:val="24"/>
          <w:szCs w:val="24"/>
          <w:lang w:eastAsia="ru-RU"/>
        </w:rPr>
        <w:t xml:space="preserve"> России обеспечивает утверждение целевой модели развития региональных систем дополнительного образования, в рамках которой в субъектах Российской Федерации будет внедрена система персонифицированного финансирования и учёта детей в дополнительном образовании и общедоступного навигатора по дополнительным общеобразовательным программам. Это поможет семьям выбирать те дополнительные программы, которые отвечают запросам и уровню подготовки детей с разными образовательными потребностями и возможностями. </w:t>
      </w:r>
      <w:proofErr w:type="gramStart"/>
      <w:r w:rsidRPr="0048023B">
        <w:rPr>
          <w:rFonts w:ascii="Arial" w:eastAsia="Times New Roman" w:hAnsi="Arial" w:cs="Arial"/>
          <w:color w:val="212529"/>
          <w:sz w:val="24"/>
          <w:szCs w:val="24"/>
          <w:lang w:eastAsia="ru-RU"/>
        </w:rPr>
        <w:t xml:space="preserve">По итогам 2022 года сертификат персонифицированного финансирования можно получить в 77 регионах (Алтайский край, 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Еврейская автономная область, Забайкальский край, Ивановская область, Иркутская область, Кабардино-Балкарская Республика, Калининградская область, Калужская область, Камчатский край, Карачаево-Черкесская Республика, </w:t>
      </w:r>
      <w:r w:rsidRPr="0048023B">
        <w:rPr>
          <w:rFonts w:ascii="Arial" w:eastAsia="Times New Roman" w:hAnsi="Arial" w:cs="Arial"/>
          <w:color w:val="212529"/>
          <w:sz w:val="24"/>
          <w:szCs w:val="24"/>
          <w:lang w:eastAsia="ru-RU"/>
        </w:rPr>
        <w:lastRenderedPageBreak/>
        <w:t>Кемеровская область, Кировская область, Костромская область, Краснодарский край, Красноярский</w:t>
      </w:r>
      <w:proofErr w:type="gramEnd"/>
      <w:r w:rsidRPr="0048023B">
        <w:rPr>
          <w:rFonts w:ascii="Arial" w:eastAsia="Times New Roman" w:hAnsi="Arial" w:cs="Arial"/>
          <w:color w:val="212529"/>
          <w:sz w:val="24"/>
          <w:szCs w:val="24"/>
          <w:lang w:eastAsia="ru-RU"/>
        </w:rPr>
        <w:t xml:space="preserve"> </w:t>
      </w:r>
      <w:proofErr w:type="gramStart"/>
      <w:r w:rsidRPr="0048023B">
        <w:rPr>
          <w:rFonts w:ascii="Arial" w:eastAsia="Times New Roman" w:hAnsi="Arial" w:cs="Arial"/>
          <w:color w:val="212529"/>
          <w:sz w:val="24"/>
          <w:szCs w:val="24"/>
          <w:lang w:eastAsia="ru-RU"/>
        </w:rPr>
        <w:t>край, Курганская область, Курская область, Ленинградская область, Липецкая область, Магаданская область, Московская область, Мурманская область, Ненецкий автономный округ, Нижегородская область, Новгородская область, Новосибирская область, Омская область, Орловская область, Пензенская область, Пермский край, Приморский край, Псковская область, Республика Адыгея, Республика Алтай, Республика Башкортостан, Республика Бурятия, Республика Дагестан, Республика Калмыкия, Республика Карелия, Республика Коми, Республика Крым, Республика Марий Эл, Республика Мордовия, Республика</w:t>
      </w:r>
      <w:proofErr w:type="gramEnd"/>
      <w:r w:rsidRPr="0048023B">
        <w:rPr>
          <w:rFonts w:ascii="Arial" w:eastAsia="Times New Roman" w:hAnsi="Arial" w:cs="Arial"/>
          <w:color w:val="212529"/>
          <w:sz w:val="24"/>
          <w:szCs w:val="24"/>
          <w:lang w:eastAsia="ru-RU"/>
        </w:rPr>
        <w:t xml:space="preserve"> </w:t>
      </w:r>
      <w:proofErr w:type="gramStart"/>
      <w:r w:rsidRPr="0048023B">
        <w:rPr>
          <w:rFonts w:ascii="Arial" w:eastAsia="Times New Roman" w:hAnsi="Arial" w:cs="Arial"/>
          <w:color w:val="212529"/>
          <w:sz w:val="24"/>
          <w:szCs w:val="24"/>
          <w:lang w:eastAsia="ru-RU"/>
        </w:rPr>
        <w:t>Саха (Якутия), Республика Северная Осетия – Алания, Республика Татарстан, Республика Тыва, Республика Хакасия, Рязанская область, Самарская область, Саратовская область, Сахалинская область, Свердловская область, Севастополь, Смоленская область, Тамбовская область, Тверская область, Томская область, Тульская область, Тюменская область, Удмуртская Республика, Ульяновская область, Хабаровский край, Ханты-Мансийский автономный округ – Югра, Чеченская Республика, Чувашская Республика, Ямало-Ненецкий автономный округ, Ярославская область).</w:t>
      </w:r>
      <w:proofErr w:type="gramEnd"/>
    </w:p>
    <w:p w:rsidR="00D1417D" w:rsidRDefault="00D1417D">
      <w:bookmarkStart w:id="0" w:name="_GoBack"/>
      <w:bookmarkEnd w:id="0"/>
    </w:p>
    <w:sectPr w:rsidR="00D141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23B"/>
    <w:rsid w:val="0048023B"/>
    <w:rsid w:val="00D14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69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itbjbj2arv.xn--p1ai/%D1%80%D0%B5%D0%B5%D1%81%D1%82%D1%80-%D1%88%D1%81%D0%B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vcht.center/reestr-teatrov/" TargetMode="External"/><Relationship Id="rId5" Type="http://schemas.openxmlformats.org/officeDocument/2006/relationships/hyperlink" Target="https://fcdtk.ru/museum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Дерба Елена</dc:creator>
  <cp:lastModifiedBy>Дерба Елена</cp:lastModifiedBy>
  <cp:revision>1</cp:revision>
  <dcterms:created xsi:type="dcterms:W3CDTF">2023-05-28T13:39:00Z</dcterms:created>
  <dcterms:modified xsi:type="dcterms:W3CDTF">2023-05-28T13:40:00Z</dcterms:modified>
</cp:coreProperties>
</file>